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AF1BC3" w:rsidRDefault="00DA0C61" w:rsidP="00F866A8">
      <w:pPr>
        <w:spacing w:line="360" w:lineRule="auto"/>
        <w:jc w:val="center"/>
        <w:rPr>
          <w:rFonts w:ascii="仿宋" w:eastAsia="仿宋" w:hAnsi="仿宋" w:cs="Times New Roman"/>
          <w:b/>
          <w:sz w:val="28"/>
          <w:szCs w:val="44"/>
        </w:rPr>
      </w:pPr>
      <w:r w:rsidRPr="00AF1BC3">
        <w:rPr>
          <w:rFonts w:ascii="仿宋" w:eastAsia="仿宋" w:hAnsi="仿宋" w:cs="Times New Roman" w:hint="eastAsia"/>
          <w:b/>
          <w:sz w:val="28"/>
          <w:szCs w:val="44"/>
        </w:rPr>
        <w:t>安乃近片</w:t>
      </w:r>
      <w:r w:rsidR="00A654CC" w:rsidRPr="00AF1BC3">
        <w:rPr>
          <w:rFonts w:ascii="仿宋" w:eastAsia="仿宋" w:hAnsi="仿宋" w:cs="Times New Roman" w:hint="eastAsia"/>
          <w:b/>
          <w:sz w:val="28"/>
          <w:szCs w:val="44"/>
        </w:rPr>
        <w:t>说明书修订</w:t>
      </w:r>
      <w:r w:rsidR="001C5476" w:rsidRPr="00AF1BC3">
        <w:rPr>
          <w:rFonts w:ascii="仿宋" w:eastAsia="仿宋" w:hAnsi="仿宋" w:cs="Times New Roman" w:hint="eastAsia"/>
          <w:b/>
          <w:sz w:val="28"/>
          <w:szCs w:val="44"/>
        </w:rPr>
        <w:t>详情</w:t>
      </w:r>
    </w:p>
    <w:tbl>
      <w:tblPr>
        <w:tblW w:w="14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5953"/>
        <w:gridCol w:w="6814"/>
      </w:tblGrid>
      <w:tr w:rsidR="002C122F" w:rsidRPr="00F866A8" w:rsidTr="00783467">
        <w:trPr>
          <w:trHeight w:val="357"/>
          <w:jc w:val="center"/>
        </w:trPr>
        <w:tc>
          <w:tcPr>
            <w:tcW w:w="1980" w:type="dxa"/>
            <w:vAlign w:val="center"/>
          </w:tcPr>
          <w:p w:rsidR="002C122F" w:rsidRPr="00F866A8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866A8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5953" w:type="dxa"/>
            <w:vAlign w:val="center"/>
          </w:tcPr>
          <w:p w:rsidR="002C122F" w:rsidRPr="00F866A8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866A8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6814" w:type="dxa"/>
            <w:vAlign w:val="center"/>
          </w:tcPr>
          <w:p w:rsidR="002C122F" w:rsidRPr="00F866A8" w:rsidRDefault="002C122F" w:rsidP="00F866A8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866A8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FB13C5" w:rsidRPr="00F866A8" w:rsidTr="005150D3">
        <w:trPr>
          <w:trHeight w:val="1696"/>
          <w:jc w:val="center"/>
        </w:trPr>
        <w:tc>
          <w:tcPr>
            <w:tcW w:w="1980" w:type="dxa"/>
            <w:vAlign w:val="center"/>
          </w:tcPr>
          <w:p w:rsidR="00FB13C5" w:rsidRPr="00F866A8" w:rsidRDefault="00FB13C5" w:rsidP="00FB13C5">
            <w:pPr>
              <w:jc w:val="center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【警示语】</w:t>
            </w:r>
          </w:p>
        </w:tc>
        <w:tc>
          <w:tcPr>
            <w:tcW w:w="5953" w:type="dxa"/>
            <w:vAlign w:val="center"/>
          </w:tcPr>
          <w:p w:rsidR="00FB13C5" w:rsidRPr="00F866A8" w:rsidRDefault="00FB13C5" w:rsidP="007A424A">
            <w:pPr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/</w:t>
            </w:r>
          </w:p>
        </w:tc>
        <w:tc>
          <w:tcPr>
            <w:tcW w:w="6814" w:type="dxa"/>
            <w:vAlign w:val="center"/>
          </w:tcPr>
          <w:p w:rsidR="00FB13C5" w:rsidRPr="00F866A8" w:rsidRDefault="00FB13C5" w:rsidP="00783467">
            <w:pPr>
              <w:ind w:rightChars="-51" w:right="-107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本品可能引起血液系统严重不良反应，如粒细胞缺乏症、血小板减少性紫癜、再生障碍性贫血等。本品还可能引起严重过敏反应，如重症药疹、过敏性休克等。请在医师的指导下使用本品，了解用药风险。</w:t>
            </w:r>
          </w:p>
          <w:p w:rsidR="007A424A" w:rsidRPr="00F866A8" w:rsidRDefault="007A424A" w:rsidP="00783467">
            <w:pPr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本品一般不作为首选用药，仅在病情急重，且无其他有效药品治疗的情况下使用。</w:t>
            </w:r>
          </w:p>
          <w:p w:rsidR="007A424A" w:rsidRPr="00F866A8" w:rsidRDefault="007A424A" w:rsidP="00783467">
            <w:pPr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本品禁用于18岁以下青少年儿童。</w:t>
            </w:r>
          </w:p>
        </w:tc>
      </w:tr>
      <w:tr w:rsidR="00FB13C5" w:rsidRPr="00F866A8" w:rsidTr="005150D3">
        <w:trPr>
          <w:jc w:val="center"/>
        </w:trPr>
        <w:tc>
          <w:tcPr>
            <w:tcW w:w="1980" w:type="dxa"/>
            <w:vAlign w:val="center"/>
          </w:tcPr>
          <w:p w:rsidR="00FB13C5" w:rsidRPr="00F866A8" w:rsidRDefault="00FB13C5" w:rsidP="00FB13C5">
            <w:pPr>
              <w:jc w:val="center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【适应症】</w:t>
            </w:r>
          </w:p>
        </w:tc>
        <w:tc>
          <w:tcPr>
            <w:tcW w:w="5953" w:type="dxa"/>
            <w:vAlign w:val="center"/>
          </w:tcPr>
          <w:p w:rsidR="00FB13C5" w:rsidRPr="00F866A8" w:rsidRDefault="005150D3" w:rsidP="007A424A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5150D3">
              <w:rPr>
                <w:rFonts w:ascii="仿宋" w:eastAsia="仿宋" w:hAnsi="仿宋" w:hint="eastAsia"/>
                <w:szCs w:val="21"/>
              </w:rPr>
              <w:t>用于高热时的解热，也可用于头痛、偏头痛、肌肉痛、关节痛、痛经等。本品亦较强的抗风湿作用，可用于急性风湿性关节炎，但因本品有可能引起严重的不良反应，很少在风湿性疾病中应用。</w:t>
            </w:r>
          </w:p>
        </w:tc>
        <w:tc>
          <w:tcPr>
            <w:tcW w:w="6814" w:type="dxa"/>
            <w:vAlign w:val="center"/>
          </w:tcPr>
          <w:p w:rsidR="00FB13C5" w:rsidRPr="00F866A8" w:rsidRDefault="005150D3" w:rsidP="00783467">
            <w:pPr>
              <w:jc w:val="left"/>
              <w:rPr>
                <w:rFonts w:ascii="仿宋" w:eastAsia="仿宋" w:hAnsi="仿宋"/>
                <w:szCs w:val="21"/>
              </w:rPr>
            </w:pPr>
            <w:r w:rsidRPr="005150D3">
              <w:rPr>
                <w:rFonts w:ascii="仿宋" w:eastAsia="仿宋" w:hAnsi="仿宋" w:hint="eastAsia"/>
                <w:szCs w:val="21"/>
              </w:rPr>
              <w:t>用于急性高热时的退热，也可用于急性疼痛的短期治疗，如头痛、偏头痛、肌肉痛、关节痛、痛经等。</w:t>
            </w:r>
          </w:p>
        </w:tc>
      </w:tr>
      <w:tr w:rsidR="00FB13C5" w:rsidRPr="00F866A8" w:rsidTr="005150D3">
        <w:trPr>
          <w:jc w:val="center"/>
        </w:trPr>
        <w:tc>
          <w:tcPr>
            <w:tcW w:w="1980" w:type="dxa"/>
            <w:vAlign w:val="center"/>
          </w:tcPr>
          <w:p w:rsidR="00FB13C5" w:rsidRPr="00F866A8" w:rsidRDefault="00FB13C5" w:rsidP="00FB13C5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【用法用量】</w:t>
            </w:r>
          </w:p>
        </w:tc>
        <w:tc>
          <w:tcPr>
            <w:tcW w:w="5953" w:type="dxa"/>
            <w:vAlign w:val="center"/>
          </w:tcPr>
          <w:p w:rsidR="00FB13C5" w:rsidRPr="00F866A8" w:rsidRDefault="00FB13C5" w:rsidP="007A424A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口服。成人常用量：一次0</w:t>
            </w:r>
            <w:r w:rsidRPr="00F866A8">
              <w:rPr>
                <w:rFonts w:ascii="仿宋" w:eastAsia="仿宋" w:hAnsi="仿宋"/>
                <w:szCs w:val="21"/>
              </w:rPr>
              <w:t>.5</w:t>
            </w:r>
            <w:r w:rsidRPr="00F866A8">
              <w:rPr>
                <w:rFonts w:ascii="仿宋" w:eastAsia="仿宋" w:hAnsi="仿宋" w:hint="eastAsia"/>
                <w:szCs w:val="21"/>
              </w:rPr>
              <w:t>～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66A8">
                <w:rPr>
                  <w:rFonts w:ascii="仿宋" w:eastAsia="仿宋" w:hAnsi="仿宋"/>
                  <w:szCs w:val="21"/>
                </w:rPr>
                <w:t>1g</w:t>
              </w:r>
            </w:smartTag>
            <w:r w:rsidRPr="00F866A8">
              <w:rPr>
                <w:rFonts w:ascii="仿宋" w:eastAsia="仿宋" w:hAnsi="仿宋" w:hint="eastAsia"/>
                <w:szCs w:val="21"/>
              </w:rPr>
              <w:t>，需要时服1次，最多一日3次。小儿：按体重一次10～20mg/</w:t>
            </w:r>
            <w:r w:rsidRPr="00F866A8">
              <w:rPr>
                <w:rFonts w:ascii="仿宋" w:eastAsia="仿宋" w:hAnsi="仿宋"/>
                <w:szCs w:val="21"/>
              </w:rPr>
              <w:t>kg</w:t>
            </w:r>
            <w:r w:rsidRPr="00F866A8">
              <w:rPr>
                <w:rFonts w:ascii="仿宋" w:eastAsia="仿宋" w:hAnsi="仿宋" w:hint="eastAsia"/>
                <w:szCs w:val="21"/>
              </w:rPr>
              <w:t>，一日2～3次。</w:t>
            </w:r>
          </w:p>
        </w:tc>
        <w:tc>
          <w:tcPr>
            <w:tcW w:w="6814" w:type="dxa"/>
            <w:vAlign w:val="center"/>
          </w:tcPr>
          <w:p w:rsidR="00FB13C5" w:rsidRPr="00F866A8" w:rsidRDefault="00FB13C5" w:rsidP="00783467">
            <w:pPr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口服。成人常用量：一次0</w:t>
            </w:r>
            <w:r w:rsidRPr="00F866A8">
              <w:rPr>
                <w:rFonts w:ascii="仿宋" w:eastAsia="仿宋" w:hAnsi="仿宋"/>
                <w:szCs w:val="21"/>
              </w:rPr>
              <w:t>.5</w:t>
            </w:r>
            <w:r w:rsidRPr="00F866A8">
              <w:rPr>
                <w:rFonts w:ascii="仿宋" w:eastAsia="仿宋" w:hAnsi="仿宋" w:hint="eastAsia"/>
                <w:szCs w:val="21"/>
              </w:rPr>
              <w:t>～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66A8">
                <w:rPr>
                  <w:rFonts w:ascii="仿宋" w:eastAsia="仿宋" w:hAnsi="仿宋"/>
                  <w:szCs w:val="21"/>
                </w:rPr>
                <w:t>1g</w:t>
              </w:r>
            </w:smartTag>
            <w:r w:rsidRPr="00F866A8">
              <w:rPr>
                <w:rFonts w:ascii="仿宋" w:eastAsia="仿宋" w:hAnsi="仿宋" w:hint="eastAsia"/>
                <w:szCs w:val="21"/>
              </w:rPr>
              <w:t>，需要时服1次，最多一日3次，</w:t>
            </w:r>
            <w:r w:rsidRPr="00F866A8">
              <w:rPr>
                <w:rFonts w:ascii="仿宋" w:eastAsia="仿宋" w:hAnsi="仿宋"/>
                <w:szCs w:val="21"/>
              </w:rPr>
              <w:t>应从最低有效剂量开始使用</w:t>
            </w:r>
            <w:r w:rsidRPr="00F866A8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D70259" w:rsidRPr="00F866A8" w:rsidTr="005150D3">
        <w:trPr>
          <w:jc w:val="center"/>
        </w:trPr>
        <w:tc>
          <w:tcPr>
            <w:tcW w:w="1980" w:type="dxa"/>
            <w:vAlign w:val="center"/>
          </w:tcPr>
          <w:p w:rsidR="00D70259" w:rsidRPr="00F866A8" w:rsidRDefault="00D70259" w:rsidP="00D70259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【不良反应】</w:t>
            </w:r>
          </w:p>
        </w:tc>
        <w:tc>
          <w:tcPr>
            <w:tcW w:w="5953" w:type="dxa"/>
            <w:vAlign w:val="center"/>
          </w:tcPr>
          <w:p w:rsidR="00D70259" w:rsidRPr="00F866A8" w:rsidRDefault="00D70259" w:rsidP="007A424A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本品对胃肠道的刺激虽较小，但可引起以下各种不良反应：①血液方面，可引起粒细胞缺乏症，发生率约1.1%，急性起病，重者有致命危险，亦可引起自身免疫性溶血性贫血、血小板减少性紫癜、再生障碍性贫血等；②皮肤方面，可引起荨麻疹、渗出性红斑等过敏性表现，严重者可发生剥脱性皮炎、表皮松解症等；③个别病例可发生过敏性休克，甚至导致死亡。</w:t>
            </w:r>
          </w:p>
        </w:tc>
        <w:tc>
          <w:tcPr>
            <w:tcW w:w="6814" w:type="dxa"/>
            <w:vAlign w:val="center"/>
          </w:tcPr>
          <w:p w:rsidR="00D70259" w:rsidRPr="00F866A8" w:rsidRDefault="00D70259" w:rsidP="00783467">
            <w:pPr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1.皮肤损害：本品皮疹报道较多，如红斑疹、斑丘疹、荨麻疹、渗出性红斑、多型性红斑、水疱疹、剥脱性皮炎、皮肤溃疡坏死、急性泛发型发疹性脓疱疹、男性生殖器皮疹和瘙痒等，有重症多型性红斑、大疱性表皮松解型药疹、中毒性表皮坏死松解症的报道。</w:t>
            </w:r>
          </w:p>
          <w:p w:rsidR="00D70259" w:rsidRPr="00F866A8" w:rsidRDefault="00D70259" w:rsidP="00783467">
            <w:pPr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2.胃肠损害：本品可引起恶心、呕吐、胃部不适、胃痛、胃部烧灼感、胃肠胀气、腹部不适、腹痛、胃肠道出血、消化性溃疡出血等，有出血性坏死性肠炎的报道。</w:t>
            </w:r>
          </w:p>
          <w:p w:rsidR="00D70259" w:rsidRPr="00F866A8" w:rsidRDefault="00D70259" w:rsidP="00783467">
            <w:pPr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3.全身性损害：本品可引起眼睑、眶周、口唇、面部、生殖器等部位水肿，还可引起胸闷、憋气、呼吸困难、心悸、哮喘发作、急性喉水肿、血压下降，严重者出现过敏性休克，甚至导致死亡。</w:t>
            </w:r>
          </w:p>
          <w:p w:rsidR="00D70259" w:rsidRDefault="00D70259" w:rsidP="00783467">
            <w:pPr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4.血液系统损害：本品可引起白细胞减少、粒细胞减少、血小板减少、粒细胞缺乏症、再生障碍性贫血、急性溶血性贫血、自身免疫性溶血性贫血、血小板减少性紫癜、鼻衄、过敏性紫癜等，有引起暴发性紫癜并导致死亡的报道。</w:t>
            </w:r>
          </w:p>
          <w:p w:rsidR="00D72095" w:rsidRPr="00F866A8" w:rsidRDefault="00D72095" w:rsidP="00783467">
            <w:pPr>
              <w:jc w:val="left"/>
              <w:rPr>
                <w:rFonts w:ascii="仿宋" w:eastAsia="仿宋" w:hAnsi="仿宋" w:hint="eastAsia"/>
                <w:szCs w:val="21"/>
              </w:rPr>
            </w:pPr>
            <w:bookmarkStart w:id="0" w:name="_GoBack"/>
            <w:bookmarkEnd w:id="0"/>
          </w:p>
          <w:p w:rsidR="00D70259" w:rsidRPr="00F866A8" w:rsidRDefault="00D70259" w:rsidP="00783467">
            <w:pPr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lastRenderedPageBreak/>
              <w:t>5.泌尿系统损害：本品可引起血尿、肾功能异常，有急性肾功能衰竭的报道。</w:t>
            </w:r>
          </w:p>
          <w:p w:rsidR="00D70259" w:rsidRPr="00F866A8" w:rsidRDefault="00D70259" w:rsidP="00783467">
            <w:pPr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6.其他：可出现头晕、头痛、局部麻木等神经系统症状，有肝细胞损害、肝酶升高的报道，退热时可出现大汗和虚脱。</w:t>
            </w:r>
          </w:p>
        </w:tc>
      </w:tr>
      <w:tr w:rsidR="00DC7D72" w:rsidRPr="00F866A8" w:rsidTr="00D72095">
        <w:trPr>
          <w:trHeight w:val="1141"/>
          <w:jc w:val="center"/>
        </w:trPr>
        <w:tc>
          <w:tcPr>
            <w:tcW w:w="1980" w:type="dxa"/>
            <w:vAlign w:val="center"/>
          </w:tcPr>
          <w:p w:rsidR="00DC7D72" w:rsidRPr="00F866A8" w:rsidRDefault="00DC7D72" w:rsidP="00DC7D72">
            <w:pPr>
              <w:jc w:val="center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lastRenderedPageBreak/>
              <w:t>【禁忌】</w:t>
            </w:r>
          </w:p>
        </w:tc>
        <w:tc>
          <w:tcPr>
            <w:tcW w:w="5953" w:type="dxa"/>
            <w:vAlign w:val="center"/>
          </w:tcPr>
          <w:p w:rsidR="00DC7D72" w:rsidRPr="00F866A8" w:rsidRDefault="00DC7D72" w:rsidP="007A424A">
            <w:pPr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对本品或氨基比林有过敏史者禁用。</w:t>
            </w:r>
          </w:p>
        </w:tc>
        <w:tc>
          <w:tcPr>
            <w:tcW w:w="6814" w:type="dxa"/>
            <w:vAlign w:val="center"/>
          </w:tcPr>
          <w:p w:rsidR="00DC7D72" w:rsidRPr="00F866A8" w:rsidRDefault="00DC7D72" w:rsidP="005150D3">
            <w:pPr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1.妊娠晚期妇女禁用。</w:t>
            </w:r>
          </w:p>
          <w:p w:rsidR="00DC7D72" w:rsidRPr="00F866A8" w:rsidRDefault="00DC7D72" w:rsidP="005150D3">
            <w:pPr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2.18岁以下青少年儿童禁用。</w:t>
            </w:r>
          </w:p>
          <w:p w:rsidR="00DC7D72" w:rsidRPr="00F866A8" w:rsidRDefault="00DC7D72" w:rsidP="005150D3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3.对本品或氨基比林有过敏史者禁用。</w:t>
            </w:r>
          </w:p>
        </w:tc>
      </w:tr>
      <w:tr w:rsidR="002B3270" w:rsidRPr="00F866A8" w:rsidTr="00D72095">
        <w:trPr>
          <w:trHeight w:val="3950"/>
          <w:jc w:val="center"/>
        </w:trPr>
        <w:tc>
          <w:tcPr>
            <w:tcW w:w="1980" w:type="dxa"/>
            <w:vAlign w:val="center"/>
          </w:tcPr>
          <w:p w:rsidR="002B3270" w:rsidRPr="00F866A8" w:rsidRDefault="002B3270" w:rsidP="002B3270">
            <w:pPr>
              <w:snapToGrid w:val="0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【注意事项】</w:t>
            </w:r>
          </w:p>
        </w:tc>
        <w:tc>
          <w:tcPr>
            <w:tcW w:w="5953" w:type="dxa"/>
            <w:vAlign w:val="center"/>
          </w:tcPr>
          <w:p w:rsidR="002B3270" w:rsidRPr="00F866A8" w:rsidRDefault="002B3270" w:rsidP="007A424A">
            <w:pPr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（1）本品与阿司匹林有交叉过敏反应。</w:t>
            </w:r>
          </w:p>
          <w:p w:rsidR="002B3270" w:rsidRPr="00F866A8" w:rsidRDefault="002B3270" w:rsidP="007A424A">
            <w:pPr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（2）本品一般不作首选用药，仅在急性高热、病情急重，又无其他有效解热药可用的情况下用于紧急退热。</w:t>
            </w:r>
          </w:p>
          <w:p w:rsidR="002B3270" w:rsidRPr="00F866A8" w:rsidRDefault="002B3270" w:rsidP="007A424A">
            <w:pPr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（3）本品用药超过1周时应定期检查血象，一旦发生粒细胞减少，应立即停药。</w:t>
            </w:r>
          </w:p>
        </w:tc>
        <w:tc>
          <w:tcPr>
            <w:tcW w:w="6814" w:type="dxa"/>
            <w:vAlign w:val="center"/>
          </w:tcPr>
          <w:p w:rsidR="002B3270" w:rsidRPr="00F866A8" w:rsidRDefault="002B3270" w:rsidP="00783467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1.本品一般不作为首选用药，仅在病情急重，且无其他有效药品治疗的情况下短期使用。</w:t>
            </w:r>
          </w:p>
          <w:p w:rsidR="002B3270" w:rsidRPr="00F866A8" w:rsidRDefault="002B3270" w:rsidP="00783467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2.本品引起的皮肤损害多见，严重者需要住院治疗。使用本品如果出现皮疹、瘙痒等反应，应立即停药，严重者应立即就诊。</w:t>
            </w:r>
          </w:p>
          <w:p w:rsidR="002B3270" w:rsidRPr="00F866A8" w:rsidRDefault="002B3270" w:rsidP="00783467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 xml:space="preserve">3.本品有引起过敏性休克风险。患者可出现胸闷、面部潮红、皮疹、呼吸困难、口唇发绀、大汗淋漓、血压降低、意识模糊、意识丧失等症状，甚至导致死亡。 </w:t>
            </w:r>
          </w:p>
          <w:p w:rsidR="002B3270" w:rsidRPr="00F866A8" w:rsidRDefault="002B3270" w:rsidP="00783467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4.本品可引起粒细胞缺乏症。该症起病急，可导致严重感染甚至死亡。患者表现为突发高热、极度乏力、周身不适，2～3天内可能发生严重感染，如肺部、泌尿系统、口咽部和皮肤感染等。出现上述症状须立即就诊并检查血象。</w:t>
            </w:r>
          </w:p>
          <w:p w:rsidR="002B3270" w:rsidRPr="00F866A8" w:rsidRDefault="002B3270" w:rsidP="00783467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5.本品与阿司匹林有交叉过敏反应。</w:t>
            </w:r>
          </w:p>
          <w:p w:rsidR="002B3270" w:rsidRPr="00F866A8" w:rsidRDefault="002B3270" w:rsidP="00783467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6.本品用药超过1周时应定期检查血象，一旦发生粒细胞减少，应立即停药。</w:t>
            </w:r>
          </w:p>
        </w:tc>
      </w:tr>
      <w:tr w:rsidR="00CA4A5E" w:rsidRPr="00F866A8" w:rsidTr="005150D3">
        <w:trPr>
          <w:trHeight w:val="680"/>
          <w:jc w:val="center"/>
        </w:trPr>
        <w:tc>
          <w:tcPr>
            <w:tcW w:w="1980" w:type="dxa"/>
            <w:vAlign w:val="center"/>
          </w:tcPr>
          <w:p w:rsidR="000301EF" w:rsidRDefault="00CA4A5E" w:rsidP="00CA4A5E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【孕妇及哺乳期</w:t>
            </w:r>
          </w:p>
          <w:p w:rsidR="00CA4A5E" w:rsidRPr="00F866A8" w:rsidRDefault="00CA4A5E" w:rsidP="00CA4A5E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妇女用药】</w:t>
            </w:r>
          </w:p>
        </w:tc>
        <w:tc>
          <w:tcPr>
            <w:tcW w:w="5953" w:type="dxa"/>
            <w:vAlign w:val="center"/>
          </w:tcPr>
          <w:p w:rsidR="00CA4A5E" w:rsidRPr="00783467" w:rsidRDefault="00783467" w:rsidP="00783467">
            <w:pPr>
              <w:snapToGrid w:val="0"/>
              <w:rPr>
                <w:rFonts w:ascii="仿宋" w:eastAsia="仿宋" w:hAnsi="仿宋"/>
                <w:szCs w:val="21"/>
              </w:rPr>
            </w:pPr>
            <w:r w:rsidRPr="00783467">
              <w:rPr>
                <w:rFonts w:ascii="仿宋" w:eastAsia="仿宋" w:hAnsi="仿宋" w:hint="eastAsia"/>
                <w:szCs w:val="21"/>
              </w:rPr>
              <w:t>安乃近的代谢产物可进入乳汁。孕妇及哺乳期妇女不宜应用。</w:t>
            </w:r>
          </w:p>
        </w:tc>
        <w:tc>
          <w:tcPr>
            <w:tcW w:w="6814" w:type="dxa"/>
            <w:vAlign w:val="center"/>
          </w:tcPr>
          <w:p w:rsidR="00CA4A5E" w:rsidRPr="00F866A8" w:rsidRDefault="00CA4A5E" w:rsidP="00783467">
            <w:pPr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1.妊娠早期和中期妇女不建议使用，妊娠晚期妇女禁用。</w:t>
            </w:r>
          </w:p>
          <w:p w:rsidR="00CA4A5E" w:rsidRPr="00F866A8" w:rsidRDefault="00CA4A5E" w:rsidP="00783467">
            <w:pPr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2.安乃近的代谢产物可进入乳汁，哺乳期妇女不宜应用。</w:t>
            </w:r>
          </w:p>
        </w:tc>
      </w:tr>
      <w:tr w:rsidR="00CA4A5E" w:rsidRPr="00F866A8" w:rsidTr="00783467">
        <w:trPr>
          <w:trHeight w:val="510"/>
          <w:jc w:val="center"/>
        </w:trPr>
        <w:tc>
          <w:tcPr>
            <w:tcW w:w="1980" w:type="dxa"/>
            <w:vAlign w:val="center"/>
          </w:tcPr>
          <w:p w:rsidR="00CA4A5E" w:rsidRPr="00F866A8" w:rsidRDefault="00CA4A5E" w:rsidP="00CA4A5E">
            <w:pPr>
              <w:snapToGrid w:val="0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【儿童用药】</w:t>
            </w:r>
          </w:p>
        </w:tc>
        <w:tc>
          <w:tcPr>
            <w:tcW w:w="5953" w:type="dxa"/>
            <w:vAlign w:val="center"/>
          </w:tcPr>
          <w:p w:rsidR="00CA4A5E" w:rsidRPr="00F866A8" w:rsidRDefault="007C152A" w:rsidP="00D76F43">
            <w:pPr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 w:hint="eastAsia"/>
                <w:szCs w:val="21"/>
              </w:rPr>
              <w:t>未进行该项实验且无可靠参考文献。</w:t>
            </w:r>
          </w:p>
        </w:tc>
        <w:tc>
          <w:tcPr>
            <w:tcW w:w="6814" w:type="dxa"/>
            <w:vAlign w:val="center"/>
          </w:tcPr>
          <w:p w:rsidR="00CA4A5E" w:rsidRPr="00F866A8" w:rsidRDefault="00CA4A5E" w:rsidP="00F866A8">
            <w:pPr>
              <w:snapToGrid w:val="0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F866A8">
              <w:rPr>
                <w:rFonts w:ascii="仿宋" w:eastAsia="仿宋" w:hAnsi="仿宋"/>
                <w:szCs w:val="21"/>
              </w:rPr>
              <w:t>本品禁用于18岁以下青少年儿童。</w:t>
            </w:r>
          </w:p>
        </w:tc>
      </w:tr>
    </w:tbl>
    <w:p w:rsidR="003B5E9F" w:rsidRPr="00F866A8" w:rsidRDefault="003B5E9F" w:rsidP="00724086">
      <w:pPr>
        <w:jc w:val="left"/>
        <w:rPr>
          <w:rFonts w:ascii="仿宋" w:eastAsia="仿宋" w:hAnsi="仿宋"/>
        </w:rPr>
      </w:pPr>
    </w:p>
    <w:sectPr w:rsidR="003B5E9F" w:rsidRPr="00F866A8" w:rsidSect="00D72095">
      <w:pgSz w:w="16838" w:h="11906" w:orient="landscape"/>
      <w:pgMar w:top="993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8DD" w:rsidRDefault="005F28DD" w:rsidP="007A424A">
      <w:r>
        <w:separator/>
      </w:r>
    </w:p>
  </w:endnote>
  <w:endnote w:type="continuationSeparator" w:id="0">
    <w:p w:rsidR="005F28DD" w:rsidRDefault="005F28DD" w:rsidP="007A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8DD" w:rsidRDefault="005F28DD" w:rsidP="007A424A">
      <w:r>
        <w:separator/>
      </w:r>
    </w:p>
  </w:footnote>
  <w:footnote w:type="continuationSeparator" w:id="0">
    <w:p w:rsidR="005F28DD" w:rsidRDefault="005F28DD" w:rsidP="007A4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023373"/>
    <w:rsid w:val="000301EF"/>
    <w:rsid w:val="00080761"/>
    <w:rsid w:val="001C5476"/>
    <w:rsid w:val="00201C70"/>
    <w:rsid w:val="00284910"/>
    <w:rsid w:val="002B3270"/>
    <w:rsid w:val="002C122F"/>
    <w:rsid w:val="002F1A7C"/>
    <w:rsid w:val="00367086"/>
    <w:rsid w:val="003B5E9F"/>
    <w:rsid w:val="004E04AD"/>
    <w:rsid w:val="00502021"/>
    <w:rsid w:val="005150D3"/>
    <w:rsid w:val="005846FD"/>
    <w:rsid w:val="005A45E9"/>
    <w:rsid w:val="005B0B43"/>
    <w:rsid w:val="005F28DD"/>
    <w:rsid w:val="00627045"/>
    <w:rsid w:val="00690171"/>
    <w:rsid w:val="006C13F2"/>
    <w:rsid w:val="007171A1"/>
    <w:rsid w:val="00724086"/>
    <w:rsid w:val="00783467"/>
    <w:rsid w:val="007A424A"/>
    <w:rsid w:val="007C152A"/>
    <w:rsid w:val="00897197"/>
    <w:rsid w:val="008E7CB0"/>
    <w:rsid w:val="009340A5"/>
    <w:rsid w:val="00962879"/>
    <w:rsid w:val="009C04A7"/>
    <w:rsid w:val="00A04806"/>
    <w:rsid w:val="00A654CC"/>
    <w:rsid w:val="00AF1BC3"/>
    <w:rsid w:val="00B64834"/>
    <w:rsid w:val="00CA4A5E"/>
    <w:rsid w:val="00D34087"/>
    <w:rsid w:val="00D70259"/>
    <w:rsid w:val="00D72095"/>
    <w:rsid w:val="00D76F43"/>
    <w:rsid w:val="00DA0C61"/>
    <w:rsid w:val="00DC7D72"/>
    <w:rsid w:val="00E57232"/>
    <w:rsid w:val="00F06884"/>
    <w:rsid w:val="00F866A8"/>
    <w:rsid w:val="00F954C5"/>
    <w:rsid w:val="00FB13C5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A4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A424A"/>
    <w:rPr>
      <w:kern w:val="2"/>
      <w:sz w:val="18"/>
      <w:szCs w:val="18"/>
    </w:rPr>
  </w:style>
  <w:style w:type="paragraph" w:styleId="a5">
    <w:name w:val="footer"/>
    <w:basedOn w:val="a"/>
    <w:link w:val="Char0"/>
    <w:rsid w:val="007A4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A42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16</cp:revision>
  <cp:lastPrinted>2020-03-23T05:04:00Z</cp:lastPrinted>
  <dcterms:created xsi:type="dcterms:W3CDTF">2020-04-09T05:20:00Z</dcterms:created>
  <dcterms:modified xsi:type="dcterms:W3CDTF">2020-05-26T05:15:00Z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